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C1" w:rsidRPr="009E0CC1" w:rsidRDefault="009E0CC1" w:rsidP="009E0CC1">
      <w:pPr>
        <w:autoSpaceDE/>
        <w:autoSpaceDN/>
        <w:rPr>
          <w:rFonts w:ascii="Calibri" w:eastAsia="Calibri" w:hAnsi="Calibri"/>
          <w:b/>
          <w:sz w:val="24"/>
          <w:szCs w:val="24"/>
          <w:lang w:eastAsia="en-US"/>
        </w:rPr>
      </w:pPr>
      <w:r w:rsidRPr="009E0CC1">
        <w:rPr>
          <w:rFonts w:ascii="Calibri" w:eastAsia="Calibri" w:hAnsi="Calibri"/>
          <w:b/>
          <w:sz w:val="24"/>
          <w:szCs w:val="24"/>
          <w:lang w:eastAsia="en-US"/>
        </w:rPr>
        <w:t>All.3</w:t>
      </w:r>
      <w:bookmarkStart w:id="0" w:name="_GoBack"/>
      <w:bookmarkEnd w:id="0"/>
    </w:p>
    <w:p w:rsidR="00451740" w:rsidRPr="009E0CC1" w:rsidRDefault="00451740" w:rsidP="00451740">
      <w:pPr>
        <w:autoSpaceDE/>
        <w:autoSpaceDN/>
        <w:jc w:val="right"/>
        <w:rPr>
          <w:rFonts w:ascii="Calibri" w:eastAsia="Calibri" w:hAnsi="Calibri"/>
          <w:b/>
          <w:smallCaps/>
          <w:sz w:val="24"/>
          <w:szCs w:val="24"/>
          <w:lang w:eastAsia="en-US"/>
        </w:rPr>
      </w:pPr>
      <w:r w:rsidRPr="009E0CC1">
        <w:rPr>
          <w:rFonts w:ascii="Calibri" w:eastAsia="Calibri" w:hAnsi="Calibri"/>
          <w:b/>
          <w:smallCaps/>
          <w:sz w:val="24"/>
          <w:szCs w:val="24"/>
          <w:lang w:eastAsia="en-US"/>
        </w:rPr>
        <w:t xml:space="preserve">” Al Dirigente Scolastico </w:t>
      </w:r>
    </w:p>
    <w:p w:rsidR="00451740" w:rsidRPr="009E0CC1" w:rsidRDefault="00451740" w:rsidP="00451740">
      <w:pPr>
        <w:autoSpaceDE/>
        <w:autoSpaceDN/>
        <w:jc w:val="right"/>
        <w:rPr>
          <w:rFonts w:ascii="Calibri" w:eastAsia="Calibri" w:hAnsi="Calibri"/>
          <w:b/>
          <w:smallCaps/>
          <w:sz w:val="24"/>
          <w:szCs w:val="24"/>
          <w:lang w:eastAsia="en-US"/>
        </w:rPr>
      </w:pPr>
      <w:r w:rsidRPr="009E0CC1">
        <w:rPr>
          <w:rFonts w:ascii="Calibri" w:eastAsia="Calibri" w:hAnsi="Calibri"/>
          <w:b/>
          <w:sz w:val="22"/>
          <w:szCs w:val="22"/>
          <w:lang w:eastAsia="en-US"/>
        </w:rPr>
        <w:t xml:space="preserve"> </w:t>
      </w:r>
      <w:r w:rsidRPr="009E0CC1">
        <w:rPr>
          <w:rFonts w:ascii="Calibri" w:eastAsia="Calibri" w:hAnsi="Calibri"/>
          <w:b/>
          <w:smallCaps/>
          <w:sz w:val="24"/>
          <w:szCs w:val="24"/>
          <w:lang w:eastAsia="en-US"/>
        </w:rPr>
        <w:t>dell’I.c. “Via della tecnica</w:t>
      </w:r>
    </w:p>
    <w:p w:rsidR="00451740" w:rsidRPr="00451740" w:rsidRDefault="00451740" w:rsidP="00451740">
      <w:pPr>
        <w:widowControl w:val="0"/>
        <w:adjustRightInd w:val="0"/>
        <w:jc w:val="right"/>
        <w:rPr>
          <w:rFonts w:ascii="Calibri" w:eastAsia="Calibri" w:hAnsi="Calibri"/>
          <w:smallCaps/>
          <w:sz w:val="24"/>
          <w:szCs w:val="24"/>
          <w:lang w:eastAsia="en-US"/>
        </w:rPr>
      </w:pPr>
    </w:p>
    <w:p w:rsidR="00451740" w:rsidRDefault="00451740"/>
    <w:p w:rsidR="001750DE" w:rsidRPr="001750DE" w:rsidRDefault="001750DE" w:rsidP="001750DE">
      <w:pPr>
        <w:suppressAutoHyphens/>
        <w:autoSpaceDN/>
        <w:spacing w:line="360" w:lineRule="auto"/>
        <w:jc w:val="both"/>
        <w:rPr>
          <w:lang w:eastAsia="ar-SA"/>
        </w:rPr>
      </w:pPr>
      <w:r w:rsidRPr="001750DE">
        <w:rPr>
          <w:lang w:eastAsia="ar-SA"/>
        </w:rPr>
        <w:t xml:space="preserve">_l_ sottoscritt_   </w:t>
      </w:r>
      <w:r w:rsidRPr="001750DE">
        <w:rPr>
          <w:sz w:val="28"/>
          <w:szCs w:val="28"/>
          <w:lang w:eastAsia="ar-SA"/>
        </w:rPr>
        <w:t>____________________________________</w:t>
      </w:r>
      <w:r w:rsidRPr="001750DE">
        <w:rPr>
          <w:lang w:eastAsia="ar-SA"/>
        </w:rPr>
        <w:t xml:space="preserve">   nat_  a  </w:t>
      </w:r>
      <w:r w:rsidRPr="001750DE">
        <w:rPr>
          <w:sz w:val="28"/>
          <w:szCs w:val="28"/>
          <w:lang w:eastAsia="ar-SA"/>
        </w:rPr>
        <w:t xml:space="preserve">____________________ </w:t>
      </w:r>
    </w:p>
    <w:p w:rsidR="001750DE" w:rsidRPr="001750DE" w:rsidRDefault="001750DE" w:rsidP="001750DE">
      <w:pPr>
        <w:suppressAutoHyphens/>
        <w:autoSpaceDN/>
        <w:spacing w:line="360" w:lineRule="auto"/>
        <w:jc w:val="both"/>
        <w:rPr>
          <w:lang w:eastAsia="ar-SA"/>
        </w:rPr>
      </w:pPr>
      <w:r w:rsidRPr="001750DE">
        <w:rPr>
          <w:lang w:eastAsia="ar-SA"/>
        </w:rPr>
        <w:t>provincia di ____ il _________________residente in  ___________________________</w:t>
      </w:r>
      <w:r w:rsidR="00647DAC">
        <w:rPr>
          <w:lang w:eastAsia="ar-SA"/>
        </w:rPr>
        <w:t xml:space="preserve">____________profilo professionale………………………………………….., titolare </w:t>
      </w:r>
      <w:r w:rsidRPr="001750DE">
        <w:rPr>
          <w:lang w:eastAsia="ar-SA"/>
        </w:rPr>
        <w:t>pre</w:t>
      </w:r>
      <w:r w:rsidR="00647DAC">
        <w:rPr>
          <w:lang w:eastAsia="ar-SA"/>
        </w:rPr>
        <w:t>s</w:t>
      </w:r>
      <w:r w:rsidRPr="001750DE">
        <w:rPr>
          <w:lang w:eastAsia="ar-SA"/>
        </w:rPr>
        <w:t>so codesto Istituto</w:t>
      </w:r>
      <w:r w:rsidR="00647DAC">
        <w:rPr>
          <w:lang w:eastAsia="ar-SA"/>
        </w:rPr>
        <w:t xml:space="preserve"> Scolastico</w:t>
      </w:r>
      <w:r w:rsidRPr="001750DE">
        <w:rPr>
          <w:lang w:eastAsia="ar-SA"/>
        </w:rPr>
        <w:t xml:space="preserve">  dall’ann</w:t>
      </w:r>
      <w:r w:rsidR="00647DAC">
        <w:rPr>
          <w:lang w:eastAsia="ar-SA"/>
        </w:rPr>
        <w:t>o scolastico _________/________, assunto a tempo indeterminato con decorrenza giuridica dal……………………………….. e con effettiva assunzione in</w:t>
      </w:r>
      <w:r w:rsidRPr="001750DE">
        <w:rPr>
          <w:lang w:eastAsia="ar-SA"/>
        </w:rPr>
        <w:t xml:space="preserve"> servizio dal</w:t>
      </w:r>
      <w:r w:rsidR="00647DAC">
        <w:rPr>
          <w:lang w:eastAsia="ar-SA"/>
        </w:rPr>
        <w:t>…………………..</w:t>
      </w:r>
      <w:r w:rsidRPr="001750DE">
        <w:rPr>
          <w:lang w:eastAsia="ar-SA"/>
        </w:rPr>
        <w:t xml:space="preserve"> ai fini della compilazione della graduatoria di Istituto</w:t>
      </w:r>
      <w:r w:rsidR="00647DAC">
        <w:rPr>
          <w:lang w:eastAsia="ar-SA"/>
        </w:rPr>
        <w:t>, consapevole delle responsabilità civili e penali cui va incontro in caso di dichiarazione non corrispondente</w:t>
      </w:r>
      <w:r w:rsidRPr="001750DE">
        <w:rPr>
          <w:lang w:eastAsia="ar-SA"/>
        </w:rPr>
        <w:t xml:space="preserve"> al vero, ai sensi del </w:t>
      </w:r>
      <w:r w:rsidRPr="001750DE">
        <w:rPr>
          <w:bCs/>
          <w:lang w:eastAsia="ar-SA"/>
        </w:rPr>
        <w:t>D.P.R. 28.12.2000, n. 445</w:t>
      </w:r>
      <w:r w:rsidRPr="001750DE">
        <w:rPr>
          <w:b/>
          <w:bCs/>
          <w:lang w:eastAsia="ar-SA"/>
        </w:rPr>
        <w:t xml:space="preserve"> </w:t>
      </w:r>
      <w:r w:rsidRPr="001750DE">
        <w:rPr>
          <w:lang w:eastAsia="ar-SA"/>
        </w:rPr>
        <w:t xml:space="preserve">(Testo unico delle disposizioni legislative e regolamentari in materia di documentazione amministrativa)  e successive modifiche ed integrazioni,  </w:t>
      </w:r>
      <w:r w:rsidRPr="001750DE">
        <w:rPr>
          <w:bCs/>
          <w:lang w:eastAsia="ar-SA"/>
        </w:rPr>
        <w:t>dichiara di aver diritto al seguente punteggio:</w:t>
      </w:r>
    </w:p>
    <w:p w:rsidR="001750DE" w:rsidRPr="00CC2A50" w:rsidRDefault="001750DE" w:rsidP="001750DE">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E    - TABELLE DI VALUTAZIONE DEI TITOLI E DEI SERVIZI</w:t>
      </w:r>
    </w:p>
    <w:p w:rsidR="001750DE" w:rsidRPr="00CC2A50" w:rsidRDefault="001750DE" w:rsidP="001750DE">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 - TABELLA DI VALUTAZIONE DEI TITOLI AI FINI DEI TRASFERIMENTI A DOMANDA, D’UFFICIO E DELLA MOBILITA’ PROFESSIONALE DEL PERSONALE ATA</w:t>
      </w:r>
    </w:p>
    <w:p w:rsidR="001750DE" w:rsidRPr="00CC2A50" w:rsidRDefault="001750DE" w:rsidP="00B47168">
      <w:pPr>
        <w:autoSpaceDE/>
        <w:autoSpaceDN/>
        <w:spacing w:after="120"/>
        <w:rPr>
          <w:rFonts w:ascii="Tahoma" w:eastAsia="Calibri" w:hAnsi="Tahoma" w:cs="Tahoma"/>
          <w:sz w:val="18"/>
          <w:szCs w:val="18"/>
          <w:lang w:eastAsia="en-US"/>
        </w:rPr>
      </w:pPr>
      <w:r w:rsidRPr="00CC2A50">
        <w:rPr>
          <w:rFonts w:ascii="Tahoma" w:eastAsia="Calibri" w:hAnsi="Tahoma" w:cs="Tahoma"/>
          <w:sz w:val="18"/>
          <w:szCs w:val="18"/>
          <w:lang w:eastAsia="en-US"/>
        </w:rPr>
        <w:t xml:space="preserve"> - ANZIANITÀ DI SERVIZIO: ( F )</w:t>
      </w:r>
    </w:p>
    <w:p w:rsidR="00D0486B" w:rsidRDefault="00D0486B"/>
    <w:tbl>
      <w:tblPr>
        <w:tblW w:w="9568" w:type="dxa"/>
        <w:tblLayout w:type="fixed"/>
        <w:tblCellMar>
          <w:left w:w="10" w:type="dxa"/>
          <w:right w:w="10" w:type="dxa"/>
        </w:tblCellMar>
        <w:tblLook w:val="0000" w:firstRow="0" w:lastRow="0" w:firstColumn="0" w:lastColumn="0" w:noHBand="0" w:noVBand="0"/>
      </w:tblPr>
      <w:tblGrid>
        <w:gridCol w:w="5882"/>
        <w:gridCol w:w="1134"/>
        <w:gridCol w:w="992"/>
        <w:gridCol w:w="709"/>
        <w:gridCol w:w="851"/>
      </w:tblGrid>
      <w:tr w:rsidR="0044369D" w:rsidRPr="00CC2A50" w:rsidTr="00647DAC">
        <w:tc>
          <w:tcPr>
            <w:tcW w:w="5882"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c>
          <w:tcPr>
            <w:tcW w:w="992" w:type="dxa"/>
            <w:tcBorders>
              <w:top w:val="double" w:sz="6" w:space="0" w:color="000000"/>
              <w:left w:val="double" w:sz="6" w:space="0" w:color="000000"/>
              <w:bottom w:val="double" w:sz="6" w:space="0" w:color="000000"/>
              <w:right w:val="double" w:sz="6" w:space="0" w:color="000000"/>
            </w:tcBorders>
            <w:shd w:val="clear" w:color="auto" w:fill="FFFFFF"/>
          </w:tcPr>
          <w:p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Mesi/anni</w:t>
            </w:r>
          </w:p>
        </w:tc>
        <w:tc>
          <w:tcPr>
            <w:tcW w:w="709" w:type="dxa"/>
            <w:tcBorders>
              <w:top w:val="double" w:sz="6" w:space="0" w:color="000000"/>
              <w:left w:val="double" w:sz="6" w:space="0" w:color="000000"/>
              <w:bottom w:val="double" w:sz="6" w:space="0" w:color="000000"/>
              <w:right w:val="double" w:sz="6" w:space="0" w:color="000000"/>
            </w:tcBorders>
            <w:shd w:val="clear" w:color="auto" w:fill="FFFFFF"/>
          </w:tcPr>
          <w:p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w:t>
            </w:r>
          </w:p>
        </w:tc>
        <w:tc>
          <w:tcPr>
            <w:tcW w:w="851" w:type="dxa"/>
            <w:tcBorders>
              <w:top w:val="double" w:sz="6" w:space="0" w:color="000000"/>
              <w:left w:val="double" w:sz="6" w:space="0" w:color="000000"/>
              <w:bottom w:val="double" w:sz="6" w:space="0" w:color="000000"/>
              <w:right w:val="double" w:sz="6" w:space="0" w:color="000000"/>
            </w:tcBorders>
            <w:shd w:val="clear" w:color="auto" w:fill="FFFFFF"/>
          </w:tcPr>
          <w:p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Ris.uff.</w:t>
            </w:r>
          </w:p>
        </w:tc>
      </w:tr>
      <w:tr w:rsidR="0044369D" w:rsidRPr="00CC2A50" w:rsidTr="00647DAC">
        <w:trPr>
          <w:trHeight w:val="1147"/>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A) per ogni mese o frazione superiore a 15 giorni di servizio </w:t>
            </w:r>
            <w:r w:rsidR="00647DAC">
              <w:rPr>
                <w:rFonts w:ascii="Tahoma" w:eastAsia="Calibri" w:hAnsi="Tahoma" w:cs="Tahoma"/>
                <w:sz w:val="18"/>
                <w:szCs w:val="18"/>
                <w:lang w:eastAsia="en-US"/>
              </w:rPr>
              <w:t xml:space="preserve">di ruolo </w:t>
            </w:r>
            <w:r w:rsidRPr="00CC2A50">
              <w:rPr>
                <w:rFonts w:ascii="Tahoma" w:eastAsia="Calibri" w:hAnsi="Tahoma" w:cs="Tahoma"/>
                <w:sz w:val="18"/>
                <w:szCs w:val="18"/>
                <w:lang w:eastAsia="en-US"/>
              </w:rPr>
              <w:t>effettivamente prestato successivamente alla decorrenza giuridica della nomina nel profilo professionale di appartenenza (2) (a) (da computarsi fino alla data di scadenza del termine di presentaz</w:t>
            </w:r>
            <w:r w:rsidR="00647DAC">
              <w:rPr>
                <w:rFonts w:ascii="Tahoma" w:eastAsia="Calibri" w:hAnsi="Tahoma" w:cs="Tahoma"/>
                <w:sz w:val="18"/>
                <w:szCs w:val="18"/>
                <w:lang w:eastAsia="en-US"/>
              </w:rPr>
              <w:t>ione della domanda) ………………………</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c>
          <w:tcPr>
            <w:tcW w:w="992"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647DAC">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A1)  per ogni mese o frazione superiore a 15 giorni di servizio </w:t>
            </w:r>
            <w:r w:rsidR="00643E14">
              <w:rPr>
                <w:rFonts w:ascii="Tahoma" w:eastAsia="Calibri" w:hAnsi="Tahoma" w:cs="Tahoma"/>
                <w:sz w:val="18"/>
                <w:szCs w:val="18"/>
                <w:lang w:eastAsia="en-US"/>
              </w:rPr>
              <w:t xml:space="preserve">di ruolo </w:t>
            </w:r>
            <w:r w:rsidRPr="00CC2A50">
              <w:rPr>
                <w:rFonts w:ascii="Tahoma" w:eastAsia="Calibri" w:hAnsi="Tahoma" w:cs="Tahoma"/>
                <w:sz w:val="18"/>
                <w:szCs w:val="18"/>
                <w:lang w:eastAsia="en-US"/>
              </w:rPr>
              <w:t>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c>
          <w:tcPr>
            <w:tcW w:w="992"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647DAC">
        <w:trPr>
          <w:trHeight w:val="695"/>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B) per ogni mese o frazione superiore a 15 giorni di servizio non di ruolo </w:t>
            </w:r>
            <w:r w:rsidR="00643E14">
              <w:rPr>
                <w:rFonts w:ascii="Tahoma" w:eastAsia="Calibri" w:hAnsi="Tahoma" w:cs="Tahoma"/>
                <w:sz w:val="18"/>
                <w:szCs w:val="18"/>
                <w:lang w:eastAsia="en-US"/>
              </w:rPr>
              <w:t xml:space="preserve">nella scuola statale di ogni ordine e grado </w:t>
            </w:r>
            <w:r w:rsidRPr="00CC2A50">
              <w:rPr>
                <w:rFonts w:ascii="Tahoma" w:eastAsia="Calibri" w:hAnsi="Tahoma" w:cs="Tahoma"/>
                <w:sz w:val="18"/>
                <w:szCs w:val="18"/>
                <w:lang w:eastAsia="en-US"/>
              </w:rPr>
              <w:t>o di altro servizio  riconosciuto o riconoscibile (3) (11) (a)……………………………………………………………………………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643E14"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 1</w:t>
            </w:r>
          </w:p>
        </w:tc>
        <w:tc>
          <w:tcPr>
            <w:tcW w:w="992"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647DAC">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c>
          <w:tcPr>
            <w:tcW w:w="992"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B47168">
        <w:tc>
          <w:tcPr>
            <w:tcW w:w="5882"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anno o frazione superiore ai 6 mesi di servizio  effettivamente prestato  a qualsiasi titolo in Pubbliche Amministrazioni o negli Enti Locali  (b)……………………………………………………..</w:t>
            </w:r>
          </w:p>
        </w:tc>
        <w:tc>
          <w:tcPr>
            <w:tcW w:w="1134"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c>
          <w:tcPr>
            <w:tcW w:w="992" w:type="dxa"/>
            <w:tcBorders>
              <w:left w:val="single" w:sz="6" w:space="0" w:color="000000"/>
              <w:bottom w:val="single" w:sz="4" w:space="0" w:color="auto"/>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4" w:space="0" w:color="auto"/>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4" w:space="0" w:color="auto"/>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B47168">
        <w:trPr>
          <w:trHeight w:val="1728"/>
        </w:trPr>
        <w:tc>
          <w:tcPr>
            <w:tcW w:w="5882" w:type="dxa"/>
            <w:tcBorders>
              <w:top w:val="single" w:sz="4" w:space="0" w:color="auto"/>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D) per ogni anno intero di servizio prestato nel profilo di appartenenza senza soluzione di continuità per almeno un triennio nella scuola di attuale titolarità (4) (11) (in aggiunta a quello previsto dalle lettere A) e B) (c) (d)</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oltre il  quinquennio………………………………………………………….</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523355" w:rsidRDefault="00523355"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992" w:type="dxa"/>
            <w:tcBorders>
              <w:top w:val="single" w:sz="4" w:space="0" w:color="auto"/>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top w:val="single" w:sz="4" w:space="0" w:color="auto"/>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top w:val="single" w:sz="4" w:space="0" w:color="auto"/>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647DAC">
        <w:trPr>
          <w:trHeight w:val="1271"/>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c>
          <w:tcPr>
            <w:tcW w:w="992"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rsidTr="00647DAC">
        <w:trPr>
          <w:trHeight w:val="1530"/>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p>
          <w:p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c>
          <w:tcPr>
            <w:tcW w:w="992"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9"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851" w:type="dxa"/>
            <w:tcBorders>
              <w:left w:val="single" w:sz="6" w:space="0" w:color="000000"/>
              <w:bottom w:val="single" w:sz="6" w:space="0" w:color="000000"/>
              <w:right w:val="single" w:sz="6" w:space="0" w:color="000000"/>
            </w:tcBorders>
          </w:tcPr>
          <w:p w:rsidR="0044369D" w:rsidRPr="00CC2A50" w:rsidRDefault="0044369D" w:rsidP="009A77A2">
            <w:pPr>
              <w:autoSpaceDE/>
              <w:autoSpaceDN/>
              <w:spacing w:after="200" w:line="276" w:lineRule="auto"/>
              <w:rPr>
                <w:rFonts w:ascii="Tahoma" w:eastAsia="Calibri" w:hAnsi="Tahoma" w:cs="Tahoma"/>
                <w:sz w:val="18"/>
                <w:szCs w:val="18"/>
                <w:lang w:eastAsia="en-US"/>
              </w:rPr>
            </w:pPr>
          </w:p>
        </w:tc>
      </w:tr>
    </w:tbl>
    <w:p w:rsidR="00D0486B" w:rsidRDefault="00D0486B"/>
    <w:p w:rsidR="001750DE" w:rsidRPr="00422C8A" w:rsidRDefault="001750DE" w:rsidP="001750DE">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(a) </w:t>
      </w:r>
      <w:r w:rsidRPr="004215D9">
        <w:rPr>
          <w:rFonts w:ascii="Tahoma" w:eastAsia="Calibri" w:hAnsi="Tahoma" w:cs="Tahoma"/>
          <w:b/>
          <w:sz w:val="18"/>
          <w:szCs w:val="18"/>
          <w:lang w:eastAsia="en-US"/>
        </w:rPr>
        <w:t>Tale servizio è riconosciuto sia al personale ATA già statale, che a quello proveniente dagli Enti Locali  in quanto transitato nei ruoli statali ai sensi della legge 124/99</w:t>
      </w:r>
      <w:r w:rsidRPr="00CC2A50">
        <w:rPr>
          <w:rFonts w:ascii="Tahoma" w:eastAsia="Calibri" w:hAnsi="Tahoma" w:cs="Tahoma"/>
          <w:sz w:val="18"/>
          <w:szCs w:val="18"/>
          <w:lang w:eastAsia="en-US"/>
        </w:rPr>
        <w:t xml:space="preserve"> . Ai direttori dei servizi generali ed amministrativi compete la valutazione anche del servizio effettivamente prestato successivamente alla decorrenza giuridica nella nomina nel profilo di responsabile amministrativo. </w:t>
      </w:r>
      <w:r w:rsidRPr="00422C8A">
        <w:rPr>
          <w:rFonts w:ascii="Tahoma" w:eastAsia="Calibri" w:hAnsi="Tahoma" w:cs="Tahoma"/>
          <w:b/>
          <w:sz w:val="18"/>
          <w:szCs w:val="18"/>
          <w:lang w:eastAsia="en-US"/>
        </w:rPr>
        <w:t>Per il personale della Croce rossa italiana e degli Enti di area vasta transitato nei ruoli ATA il punteggio è riconosciuto solo qualora prima del transito  fosse stato svolto servizio scolastico statale, di ruolo o non di ruolo, nei ruoli ATA.</w:t>
      </w:r>
    </w:p>
    <w:p w:rsidR="001750DE" w:rsidRPr="00CC2A50" w:rsidRDefault="001750DE" w:rsidP="001750DE">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(b) </w:t>
      </w:r>
      <w:r w:rsidRPr="00B82A56">
        <w:rPr>
          <w:rFonts w:ascii="Tahoma" w:eastAsia="Calibri" w:hAnsi="Tahoma" w:cs="Tahoma"/>
          <w:b/>
          <w:sz w:val="18"/>
          <w:szCs w:val="18"/>
          <w:lang w:eastAsia="en-US"/>
        </w:rPr>
        <w:t>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r w:rsidRPr="00CC2A50">
        <w:rPr>
          <w:rFonts w:ascii="Tahoma" w:eastAsia="Calibri" w:hAnsi="Tahoma" w:cs="Tahoma"/>
          <w:sz w:val="18"/>
          <w:szCs w:val="18"/>
          <w:lang w:eastAsia="en-US"/>
        </w:rPr>
        <w:t xml:space="preserve">. </w:t>
      </w:r>
      <w:r w:rsidRPr="00CC2A50">
        <w:rPr>
          <w:rFonts w:ascii="Tahoma" w:eastAsia="Calibri" w:hAnsi="Tahoma" w:cs="Tahoma"/>
          <w:sz w:val="18"/>
          <w:szCs w:val="18"/>
          <w:lang w:eastAsia="en-US"/>
        </w:rPr>
        <w:tab/>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(c)Tale servizio è riconosciuto sia al personale ATA già statale che a quello proveniente dagli Enti Locali </w:t>
      </w:r>
      <w:r w:rsidRPr="0000388B">
        <w:rPr>
          <w:rFonts w:ascii="Tahoma" w:eastAsia="Calibri" w:hAnsi="Tahoma" w:cs="Tahoma"/>
          <w:b/>
          <w:sz w:val="18"/>
          <w:szCs w:val="18"/>
          <w:lang w:eastAsia="en-US"/>
        </w:rPr>
        <w:t>in quanto</w:t>
      </w:r>
      <w:r w:rsidRPr="00CC2A50">
        <w:rPr>
          <w:rFonts w:ascii="Tahoma" w:eastAsia="Calibri" w:hAnsi="Tahoma" w:cs="Tahoma"/>
          <w:sz w:val="18"/>
          <w:szCs w:val="18"/>
          <w:lang w:eastAsia="en-US"/>
        </w:rPr>
        <w:t xml:space="preserve"> </w:t>
      </w:r>
      <w:r w:rsidRPr="0000388B">
        <w:rPr>
          <w:rFonts w:ascii="Tahoma" w:eastAsia="Calibri" w:hAnsi="Tahoma" w:cs="Tahoma"/>
          <w:b/>
          <w:sz w:val="18"/>
          <w:szCs w:val="18"/>
          <w:lang w:eastAsia="en-US"/>
        </w:rPr>
        <w:t>transitato nei ruoli statali ai sensi della legge 124/99</w:t>
      </w:r>
      <w:r w:rsidRPr="00CC2A50">
        <w:rPr>
          <w:rFonts w:ascii="Tahoma" w:eastAsia="Calibri" w:hAnsi="Tahoma" w:cs="Tahoma"/>
          <w:sz w:val="18"/>
          <w:szCs w:val="18"/>
          <w:lang w:eastAsia="en-US"/>
        </w:rPr>
        <w:t xml:space="preserve"> .  Ai direttori dei servizi generali ed amministrativi compete la valutazione anche del servizio effettivamente prestato successivamente alla decorrenza giuridica nella nomina nel profilo di responsabile amministrativo.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maturazione una tantum del punteggio è utile un triennio compreso nel periodo intercorrente tra le domande di mobilità per l’a.s. 2000/2001 e quelle per l’anno scolastico 2007/2008.</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Con le domande di mobilità per l’anno scolastico 2007/2008 si è, infatti, concluso il periodo utile per l’acquisizione del punteggio aggiuntivo a seguito della maturazione del triennio.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viene, inoltre,  riconosciuto anche a coloro che, nel suddetto periodo, hanno presentato in ambito provinciale:</w:t>
      </w:r>
    </w:p>
    <w:p w:rsidR="001750DE" w:rsidRPr="00CC2A50" w:rsidRDefault="001750DE" w:rsidP="001750DE">
      <w:pPr>
        <w:numPr>
          <w:ilvl w:val="0"/>
          <w:numId w:val="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condizionata di trasferimento in quanto individuati soprannumerari;</w:t>
      </w:r>
    </w:p>
    <w:p w:rsidR="001750DE" w:rsidRPr="00CC2A50" w:rsidRDefault="001750DE" w:rsidP="001750DE">
      <w:pPr>
        <w:numPr>
          <w:ilvl w:val="0"/>
          <w:numId w:val="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domanda di rientro nella scuola di precedente titolarità nel quinquennio di fruizione del diritto alla precedenza di cui ai punti II e  </w:t>
      </w:r>
      <w:r w:rsidRPr="00173DE5">
        <w:rPr>
          <w:rFonts w:ascii="Tahoma" w:eastAsia="Calibri" w:hAnsi="Tahoma" w:cs="Tahoma"/>
          <w:b/>
          <w:sz w:val="18"/>
          <w:szCs w:val="18"/>
          <w:lang w:eastAsia="en-US"/>
        </w:rPr>
        <w:t xml:space="preserve">V </w:t>
      </w:r>
      <w:r w:rsidRPr="00CC2A50">
        <w:rPr>
          <w:rFonts w:ascii="Tahoma" w:eastAsia="Calibri" w:hAnsi="Tahoma" w:cs="Tahoma"/>
          <w:sz w:val="18"/>
          <w:szCs w:val="18"/>
          <w:lang w:eastAsia="en-US"/>
        </w:rPr>
        <w:t xml:space="preserve">dell’art. </w:t>
      </w:r>
      <w:r w:rsidRPr="00173DE5">
        <w:rPr>
          <w:rFonts w:ascii="Tahoma" w:eastAsia="Calibri" w:hAnsi="Tahoma" w:cs="Tahoma"/>
          <w:b/>
          <w:sz w:val="18"/>
          <w:szCs w:val="18"/>
          <w:lang w:eastAsia="en-US"/>
        </w:rPr>
        <w:t>40</w:t>
      </w:r>
      <w:r w:rsidRPr="00CC2A50">
        <w:rPr>
          <w:rFonts w:ascii="Tahoma" w:eastAsia="Calibri" w:hAnsi="Tahoma" w:cs="Tahoma"/>
          <w:sz w:val="18"/>
          <w:szCs w:val="18"/>
          <w:lang w:eastAsia="en-US"/>
        </w:rPr>
        <w:t>, comma 1 del CCNI.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w:t>
      </w:r>
      <w:r w:rsidRPr="00BA55C2">
        <w:rPr>
          <w:rFonts w:ascii="Tahoma" w:eastAsia="Calibri" w:hAnsi="Tahoma" w:cs="Tahoma"/>
          <w:b/>
          <w:sz w:val="18"/>
          <w:szCs w:val="18"/>
          <w:lang w:eastAsia="en-US"/>
        </w:rPr>
        <w:t>V</w:t>
      </w:r>
      <w:r w:rsidRPr="00CC2A50">
        <w:rPr>
          <w:rFonts w:ascii="Tahoma" w:eastAsia="Calibri" w:hAnsi="Tahoma" w:cs="Tahoma"/>
          <w:sz w:val="18"/>
          <w:szCs w:val="18"/>
          <w:lang w:eastAsia="en-US"/>
        </w:rPr>
        <w:t xml:space="preserve"> dell’art.</w:t>
      </w:r>
      <w:r w:rsidRPr="00BA55C2">
        <w:rPr>
          <w:rFonts w:ascii="Tahoma" w:eastAsia="Calibri" w:hAnsi="Tahoma" w:cs="Tahoma"/>
          <w:b/>
          <w:sz w:val="18"/>
          <w:szCs w:val="18"/>
          <w:lang w:eastAsia="en-US"/>
        </w:rPr>
        <w:t>40</w:t>
      </w:r>
      <w:r w:rsidRPr="00CC2A50">
        <w:rPr>
          <w:rFonts w:ascii="Tahoma" w:eastAsia="Calibri" w:hAnsi="Tahoma" w:cs="Tahoma"/>
          <w:sz w:val="18"/>
          <w:szCs w:val="18"/>
          <w:lang w:eastAsia="en-US"/>
        </w:rPr>
        <w:t>, comma 1 del CCNI, il rientro nella scuola o nel comune di precedente titolarità, il trasferimento per altre preferenze espresse nella domanda o l’assegnazione provvisoria.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 :</w:t>
      </w:r>
    </w:p>
    <w:p w:rsidR="00D0486B" w:rsidRDefault="00D0486B"/>
    <w:tbl>
      <w:tblPr>
        <w:tblW w:w="10560" w:type="dxa"/>
        <w:tblLayout w:type="fixed"/>
        <w:tblCellMar>
          <w:left w:w="10" w:type="dxa"/>
          <w:right w:w="10" w:type="dxa"/>
        </w:tblCellMar>
        <w:tblLook w:val="0000" w:firstRow="0" w:lastRow="0" w:firstColumn="0" w:lastColumn="0" w:noHBand="0" w:noVBand="0"/>
      </w:tblPr>
      <w:tblGrid>
        <w:gridCol w:w="7583"/>
        <w:gridCol w:w="992"/>
        <w:gridCol w:w="851"/>
        <w:gridCol w:w="567"/>
        <w:gridCol w:w="567"/>
      </w:tblGrid>
      <w:tr w:rsidR="005626E7" w:rsidRPr="00CC2A50" w:rsidTr="005626E7">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992"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c>
          <w:tcPr>
            <w:tcW w:w="851" w:type="dxa"/>
            <w:tcBorders>
              <w:top w:val="double" w:sz="6" w:space="0" w:color="000000"/>
              <w:left w:val="double" w:sz="6" w:space="0" w:color="000000"/>
              <w:bottom w:val="double" w:sz="6" w:space="0" w:color="000000"/>
              <w:right w:val="double" w:sz="6" w:space="0" w:color="000000"/>
            </w:tcBorders>
            <w:shd w:val="clear" w:color="auto" w:fill="FFFFFF"/>
          </w:tcPr>
          <w:p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Mesi/anni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Ris.Uff</w:t>
            </w:r>
          </w:p>
        </w:tc>
      </w:tr>
      <w:tr w:rsidR="005626E7" w:rsidRPr="00CC2A50" w:rsidTr="005626E7">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99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c>
          <w:tcPr>
            <w:tcW w:w="851" w:type="dxa"/>
            <w:tcBorders>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rsidTr="005626E7">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c>
          <w:tcPr>
            <w:tcW w:w="851"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rsidTr="005626E7">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851"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rsidTr="005626E7">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p>
          <w:p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c>
          <w:tcPr>
            <w:tcW w:w="851"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5626E7" w:rsidRPr="00CC2A50" w:rsidRDefault="005626E7" w:rsidP="009A77A2">
            <w:pPr>
              <w:autoSpaceDE/>
              <w:autoSpaceDN/>
              <w:spacing w:after="200" w:line="276" w:lineRule="auto"/>
              <w:rPr>
                <w:rFonts w:ascii="Tahoma" w:eastAsia="Calibri" w:hAnsi="Tahoma" w:cs="Tahoma"/>
                <w:sz w:val="18"/>
                <w:szCs w:val="18"/>
                <w:lang w:eastAsia="en-US"/>
              </w:rPr>
            </w:pPr>
          </w:p>
        </w:tc>
      </w:tr>
    </w:tbl>
    <w:p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III - TITOLI GENERALI</w:t>
      </w:r>
    </w:p>
    <w:p w:rsidR="00D0486B" w:rsidRDefault="00D0486B"/>
    <w:p w:rsidR="00D0486B" w:rsidRDefault="00D0486B"/>
    <w:tbl>
      <w:tblPr>
        <w:tblW w:w="9993" w:type="dxa"/>
        <w:tblLayout w:type="fixed"/>
        <w:tblCellMar>
          <w:left w:w="10" w:type="dxa"/>
          <w:right w:w="10" w:type="dxa"/>
        </w:tblCellMar>
        <w:tblLook w:val="0000" w:firstRow="0" w:lastRow="0" w:firstColumn="0" w:lastColumn="0" w:noHBand="0" w:noVBand="0"/>
      </w:tblPr>
      <w:tblGrid>
        <w:gridCol w:w="7583"/>
        <w:gridCol w:w="709"/>
        <w:gridCol w:w="567"/>
        <w:gridCol w:w="567"/>
        <w:gridCol w:w="567"/>
      </w:tblGrid>
      <w:tr w:rsidR="008C0116" w:rsidRPr="00CC2A50" w:rsidTr="008C0116">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709"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Punteggio</w:t>
            </w:r>
            <w:r>
              <w:rPr>
                <w:rFonts w:ascii="Tahoma" w:eastAsia="Calibri" w:hAnsi="Tahoma" w:cs="Tahoma"/>
                <w:sz w:val="18"/>
                <w:szCs w:val="18"/>
                <w:lang w:eastAsia="en-US"/>
              </w:rPr>
              <w:t>1</w:t>
            </w:r>
            <w:r w:rsidRPr="00CC2A50">
              <w:rPr>
                <w:rFonts w:ascii="Tahoma" w:eastAsia="Calibri" w:hAnsi="Tahoma" w:cs="Tahoma"/>
                <w:sz w:val="18"/>
                <w:szCs w:val="18"/>
                <w:lang w:eastAsia="en-US"/>
              </w:rPr>
              <w:t xml:space="preserve"> </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rsidR="008C0116" w:rsidRPr="00CC2A50" w:rsidRDefault="008C0116" w:rsidP="00AE2B03">
            <w:pPr>
              <w:autoSpaceDE/>
              <w:autoSpaceDN/>
              <w:spacing w:after="200" w:line="276" w:lineRule="auto"/>
              <w:rPr>
                <w:rFonts w:ascii="Tahoma" w:eastAsia="Calibri" w:hAnsi="Tahoma" w:cs="Tahoma"/>
                <w:sz w:val="18"/>
                <w:szCs w:val="18"/>
                <w:lang w:eastAsia="en-US"/>
              </w:rPr>
            </w:pPr>
          </w:p>
        </w:tc>
      </w:tr>
      <w:tr w:rsidR="008C0116" w:rsidRPr="00CC2A50" w:rsidTr="00001818">
        <w:trPr>
          <w:trHeight w:val="932"/>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 ………………………...……….…...</w:t>
            </w:r>
          </w:p>
        </w:tc>
        <w:tc>
          <w:tcPr>
            <w:tcW w:w="709"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001818">
            <w:pPr>
              <w:autoSpaceDE/>
              <w:autoSpaceDN/>
              <w:spacing w:after="200" w:line="276" w:lineRule="auto"/>
              <w:rPr>
                <w:rFonts w:ascii="Tahoma" w:eastAsia="Calibri" w:hAnsi="Tahoma" w:cs="Tahoma"/>
                <w:sz w:val="18"/>
                <w:szCs w:val="18"/>
                <w:lang w:eastAsia="en-US"/>
              </w:rPr>
            </w:pPr>
          </w:p>
          <w:p w:rsidR="008C0116" w:rsidRPr="00CC2A50" w:rsidRDefault="008C0116" w:rsidP="00001818">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567" w:type="dxa"/>
            <w:tcBorders>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rsidR="008C0116" w:rsidRPr="00CC2A50" w:rsidRDefault="008C0116" w:rsidP="00AE2B03">
            <w:pPr>
              <w:autoSpaceDE/>
              <w:autoSpaceDN/>
              <w:spacing w:after="200" w:line="276" w:lineRule="auto"/>
              <w:rPr>
                <w:rFonts w:ascii="Tahoma" w:eastAsia="Calibri" w:hAnsi="Tahoma" w:cs="Tahoma"/>
                <w:sz w:val="18"/>
                <w:szCs w:val="18"/>
                <w:lang w:eastAsia="en-US"/>
              </w:rPr>
            </w:pPr>
          </w:p>
        </w:tc>
      </w:tr>
      <w:tr w:rsidR="008C0116" w:rsidRPr="00CC2A50" w:rsidTr="008C0116">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C0116" w:rsidRPr="00CC2A50" w:rsidRDefault="008C0116" w:rsidP="009A77A2">
            <w:pPr>
              <w:autoSpaceDE/>
              <w:autoSpaceDN/>
              <w:spacing w:after="200" w:line="276" w:lineRule="auto"/>
              <w:rPr>
                <w:rFonts w:ascii="Tahoma" w:eastAsia="Calibri" w:hAnsi="Tahoma" w:cs="Tahoma"/>
                <w:sz w:val="18"/>
                <w:szCs w:val="18"/>
                <w:lang w:eastAsia="en-US"/>
              </w:rPr>
            </w:pPr>
          </w:p>
          <w:p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567" w:type="dxa"/>
            <w:tcBorders>
              <w:top w:val="single" w:sz="6" w:space="0" w:color="000000"/>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8C0116" w:rsidRPr="00CC2A50" w:rsidRDefault="008C0116" w:rsidP="00AE2B03">
            <w:pPr>
              <w:autoSpaceDE/>
              <w:autoSpaceDN/>
              <w:spacing w:after="200" w:line="276" w:lineRule="auto"/>
              <w:rPr>
                <w:rFonts w:ascii="Tahoma" w:eastAsia="Calibri" w:hAnsi="Tahoma" w:cs="Tahoma"/>
                <w:sz w:val="18"/>
                <w:szCs w:val="18"/>
                <w:lang w:eastAsia="en-US"/>
              </w:rPr>
            </w:pPr>
          </w:p>
        </w:tc>
      </w:tr>
    </w:tbl>
    <w:p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NOTE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(1) A norma </w:t>
      </w:r>
      <w:r w:rsidRPr="002D338D">
        <w:rPr>
          <w:rFonts w:ascii="Tahoma" w:eastAsia="Calibri" w:hAnsi="Tahoma" w:cs="Tahoma"/>
          <w:sz w:val="18"/>
          <w:szCs w:val="18"/>
          <w:lang w:eastAsia="en-US"/>
        </w:rPr>
        <w:t>del D.P.R.</w:t>
      </w:r>
      <w:r w:rsidRPr="00CC2A50">
        <w:rPr>
          <w:rFonts w:ascii="Tahoma" w:eastAsia="Calibri" w:hAnsi="Tahoma" w:cs="Tahoma"/>
          <w:sz w:val="18"/>
          <w:szCs w:val="18"/>
          <w:lang w:eastAsia="en-US"/>
        </w:rPr>
        <w:t xml:space="preserve">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CC2A50">
        <w:rPr>
          <w:rFonts w:ascii="Tahoma" w:eastAsia="Calibri" w:hAnsi="Tahoma" w:cs="Tahoma"/>
          <w:b/>
          <w:sz w:val="18"/>
          <w:szCs w:val="18"/>
          <w:lang w:eastAsia="en-US"/>
        </w:rPr>
        <w:t>;</w:t>
      </w:r>
      <w:r w:rsidRPr="00CC2A50">
        <w:rPr>
          <w:rFonts w:ascii="Tahoma" w:eastAsia="Calibri" w:hAnsi="Tahoma" w:cs="Tahoma"/>
          <w:sz w:val="18"/>
          <w:szCs w:val="18"/>
          <w:lang w:eastAsia="en-US"/>
        </w:rPr>
        <w:t xml:space="preserve"> il servizio di ruolo prestato quale accudiente di convitto dal personale transitato nella terza qualifica ai sensi dell'art. 49, della legge n. 312/80;</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profilo diverso da quello di appartenenza a seguito di utilizzazione o assegnazione provvisoria;</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il servizio prestato dal personale inidoneo durante il periodo di collocamento fuori ruolo ai sensi dell’art. 23 – comma 5, del C.C.N.L. sottoscritto il 4 agosto 1995 in mansioni parziali del profilo di appartenenza o in altro profilo comunque coerenti;</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CC2A5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ogni anno prestato nei Paesi in via di sviluppo il punteggio è raddoppiato.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la maturazione del punteggio del servizio la fruizione del congedo biennale per l’assistenza a familiari con grave disabilità di cui all’art. 5 del D.L.vo n. 151/2001 e successive modifiche ed integrazioni.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w:t>
      </w:r>
      <w:r w:rsidRPr="00001818">
        <w:rPr>
          <w:rFonts w:ascii="Tahoma" w:eastAsia="Calibri" w:hAnsi="Tahoma" w:cs="Tahoma"/>
          <w:b/>
          <w:sz w:val="18"/>
          <w:szCs w:val="18"/>
          <w:lang w:eastAsia="en-US"/>
        </w:rPr>
        <w:t>La valutazione del servizio pre-ruolo svolto nella medesima area di appartenenza viene effettuata secondo il punteggio di cui alla tabella A dell’allegato E -lett. B (punti 2 nella mobilità a domanda; punti 1 nella mobilità d’ufficio).</w:t>
      </w:r>
      <w:r w:rsidRPr="00CC2A50">
        <w:rPr>
          <w:rFonts w:ascii="Tahoma" w:eastAsia="Calibri" w:hAnsi="Tahoma" w:cs="Tahoma"/>
          <w:sz w:val="18"/>
          <w:szCs w:val="18"/>
          <w:lang w:eastAsia="en-US"/>
        </w:rPr>
        <w:t xml:space="preserve"> </w:t>
      </w:r>
    </w:p>
    <w:p w:rsidR="001750DE" w:rsidRPr="00F67FAB" w:rsidRDefault="001750DE" w:rsidP="001750DE">
      <w:pPr>
        <w:autoSpaceDE/>
        <w:autoSpaceDN/>
        <w:spacing w:after="200" w:line="276" w:lineRule="auto"/>
        <w:jc w:val="both"/>
        <w:rPr>
          <w:rFonts w:ascii="Tahoma" w:eastAsia="Calibri" w:hAnsi="Tahoma" w:cs="Tahoma"/>
          <w:b/>
          <w:sz w:val="18"/>
          <w:szCs w:val="18"/>
          <w:lang w:eastAsia="en-US"/>
        </w:rPr>
      </w:pPr>
      <w:r w:rsidRPr="00F67FAB">
        <w:rPr>
          <w:rFonts w:ascii="Tahoma" w:eastAsia="Calibri" w:hAnsi="Tahoma" w:cs="Tahoma"/>
          <w:b/>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p>
    <w:p w:rsidR="001750DE" w:rsidRPr="00A10349" w:rsidRDefault="001750DE" w:rsidP="001750DE">
      <w:pPr>
        <w:autoSpaceDE/>
        <w:autoSpaceDN/>
        <w:spacing w:after="200" w:line="276" w:lineRule="auto"/>
        <w:jc w:val="both"/>
        <w:rPr>
          <w:rFonts w:ascii="Tahoma" w:eastAsia="Calibri" w:hAnsi="Tahoma" w:cs="Tahoma"/>
          <w:b/>
          <w:sz w:val="18"/>
          <w:szCs w:val="18"/>
          <w:lang w:eastAsia="en-US"/>
        </w:rPr>
      </w:pPr>
      <w:r w:rsidRPr="00A10349">
        <w:rPr>
          <w:rFonts w:ascii="Tahoma" w:eastAsia="Calibri" w:hAnsi="Tahoma" w:cs="Tahoma"/>
          <w:b/>
          <w:sz w:val="18"/>
          <w:szCs w:val="18"/>
          <w:lang w:eastAsia="en-US"/>
        </w:rPr>
        <w:t>Per la mobilità a domanda il numero di anni e mesi di servizio pre ruolo si valuta per intero, mentre per la mobilità d’ufficio i primi 4 anni sono valutati per intero e il periodo eccedente nella misura di i due terzi.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br/>
        <w:t>Con il punteggio previsto dalla presente voce vanno valutati i seguenti servizi o periodi:</w:t>
      </w:r>
    </w:p>
    <w:p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qualità di docente;</w:t>
      </w:r>
    </w:p>
    <w:p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non di ruolo ed il servizio militare riconosciuto o riconoscibile ai fini della carriera ai sensi dell’art. 569 del Decreto legislativo 297/94 e successive modifiche;</w:t>
      </w:r>
    </w:p>
    <w:p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area diversa.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Sono valutabili anche i servizi il cui riconoscimento sia richiesto da personale ancora in periodo di prova.</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Il periodo di anzianità derivante da decorrenza giuridica della nomina antecedente alla decorrenza econo</w:t>
      </w:r>
      <w:r w:rsidRPr="00CC2A50">
        <w:rPr>
          <w:rFonts w:ascii="Tahoma" w:eastAsia="Calibri" w:hAnsi="Tahoma" w:cs="Tahoma"/>
          <w:sz w:val="18"/>
          <w:szCs w:val="18"/>
          <w:lang w:eastAsia="en-US"/>
        </w:rPr>
        <w:softHyphen/>
        <w:t>mica nel caso in cui non sia stato prestato effettivo servizio si valuta per intero.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CC2A50">
        <w:rPr>
          <w:rFonts w:ascii="Tahoma" w:eastAsia="Calibri" w:hAnsi="Tahoma" w:cs="Tahoma"/>
          <w:sz w:val="18"/>
          <w:szCs w:val="18"/>
          <w:lang w:eastAsia="en-US"/>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CC2A5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continuità del servizio non si valuta l’anno in corso.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B) e lettera C) valgono sempre; </w:t>
      </w:r>
    </w:p>
    <w:p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punteggio così calcolato viene utilizzato anche nelle operazioni di trasferimento d’ufficio del soprannumerario.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ter) Ai sensi della legge 76/2016 per coniuge si intende anche la parte dell’unione civile.</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(7) La valutazione è attribuita nei seguenti casi:</w:t>
      </w:r>
    </w:p>
    <w:p w:rsidR="001750DE" w:rsidRPr="00CC2A50" w:rsidRDefault="001750DE" w:rsidP="001750DE">
      <w:pPr>
        <w:numPr>
          <w:ilvl w:val="0"/>
          <w:numId w:val="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ricoverati permanentemente in istituto di cura;</w:t>
      </w:r>
    </w:p>
    <w:p w:rsidR="001750DE" w:rsidRPr="00CC2A50" w:rsidRDefault="001750DE" w:rsidP="001750DE">
      <w:pPr>
        <w:numPr>
          <w:ilvl w:val="0"/>
          <w:numId w:val="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w:t>
      </w:r>
      <w:r w:rsidRPr="00CC2A50">
        <w:rPr>
          <w:rFonts w:ascii="Tahoma" w:eastAsia="Calibri" w:hAnsi="Tahoma" w:cs="Tahoma"/>
          <w:sz w:val="18"/>
          <w:szCs w:val="18"/>
          <w:lang w:eastAsia="en-US"/>
        </w:rPr>
        <w:lastRenderedPageBreak/>
        <w:t>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1750DE" w:rsidRPr="00CC2A50" w:rsidRDefault="001750DE" w:rsidP="001750DE">
      <w:pPr>
        <w:autoSpaceDE/>
        <w:autoSpaceDN/>
        <w:spacing w:after="200" w:line="276" w:lineRule="auto"/>
        <w:rPr>
          <w:rFonts w:ascii="Tahoma" w:eastAsia="Calibri" w:hAnsi="Tahoma" w:cs="Tahoma"/>
          <w:sz w:val="18"/>
          <w:szCs w:val="18"/>
          <w:lang w:eastAsia="en-US"/>
        </w:rPr>
      </w:pPr>
    </w:p>
    <w:p w:rsidR="00D0486B" w:rsidRDefault="00D0486B"/>
    <w:sectPr w:rsidR="00D0486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E4" w:rsidRDefault="00953DE4" w:rsidP="00451740">
      <w:r>
        <w:separator/>
      </w:r>
    </w:p>
  </w:endnote>
  <w:endnote w:type="continuationSeparator" w:id="0">
    <w:p w:rsidR="00953DE4" w:rsidRDefault="00953DE4" w:rsidP="004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E4" w:rsidRDefault="00953DE4" w:rsidP="00451740">
      <w:r>
        <w:separator/>
      </w:r>
    </w:p>
  </w:footnote>
  <w:footnote w:type="continuationSeparator" w:id="0">
    <w:p w:rsidR="00953DE4" w:rsidRDefault="00953DE4" w:rsidP="0045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6"/>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D5"/>
    <w:rsid w:val="00001818"/>
    <w:rsid w:val="0000388B"/>
    <w:rsid w:val="000E0B61"/>
    <w:rsid w:val="00160B7E"/>
    <w:rsid w:val="00173DE5"/>
    <w:rsid w:val="001750DE"/>
    <w:rsid w:val="002052A6"/>
    <w:rsid w:val="00263188"/>
    <w:rsid w:val="002E27E3"/>
    <w:rsid w:val="004215D9"/>
    <w:rsid w:val="00422C8A"/>
    <w:rsid w:val="0044369D"/>
    <w:rsid w:val="00451740"/>
    <w:rsid w:val="004F1951"/>
    <w:rsid w:val="00523355"/>
    <w:rsid w:val="005626E7"/>
    <w:rsid w:val="005E6360"/>
    <w:rsid w:val="006349D5"/>
    <w:rsid w:val="00643E14"/>
    <w:rsid w:val="00647DAC"/>
    <w:rsid w:val="0083380C"/>
    <w:rsid w:val="008C0116"/>
    <w:rsid w:val="008D73AA"/>
    <w:rsid w:val="00953DE4"/>
    <w:rsid w:val="009964A2"/>
    <w:rsid w:val="009B5891"/>
    <w:rsid w:val="009E0CC1"/>
    <w:rsid w:val="00A10349"/>
    <w:rsid w:val="00B47168"/>
    <w:rsid w:val="00B82A56"/>
    <w:rsid w:val="00BA55C2"/>
    <w:rsid w:val="00C0752E"/>
    <w:rsid w:val="00C87FFA"/>
    <w:rsid w:val="00CC19E6"/>
    <w:rsid w:val="00D02206"/>
    <w:rsid w:val="00D0486B"/>
    <w:rsid w:val="00E046D8"/>
    <w:rsid w:val="00E559E6"/>
    <w:rsid w:val="00F07C68"/>
    <w:rsid w:val="00F67FAB"/>
    <w:rsid w:val="00F7497C"/>
    <w:rsid w:val="00F80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DCC01-ED6C-4133-83E9-617587E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4338</Words>
  <Characters>24729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didattica7</dc:creator>
  <cp:lastModifiedBy>Bruno Gismondi</cp:lastModifiedBy>
  <cp:revision>3</cp:revision>
  <dcterms:created xsi:type="dcterms:W3CDTF">2018-03-22T12:53:00Z</dcterms:created>
  <dcterms:modified xsi:type="dcterms:W3CDTF">2018-03-22T14:55:00Z</dcterms:modified>
</cp:coreProperties>
</file>